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44C1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44C12">
        <w:rPr>
          <w:rFonts w:ascii="Century" w:eastAsia="Calibri" w:hAnsi="Century"/>
          <w:b/>
          <w:bCs/>
          <w:sz w:val="32"/>
          <w:szCs w:val="36"/>
          <w:lang w:eastAsia="ru-RU"/>
        </w:rPr>
        <w:t>23/35-6378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44C1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44C12">
        <w:rPr>
          <w:rFonts w:ascii="Century" w:hAnsi="Century"/>
          <w:b/>
          <w:sz w:val="24"/>
          <w:szCs w:val="24"/>
        </w:rPr>
        <w:t>Сохан Лесі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44C1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44C12">
        <w:rPr>
          <w:rFonts w:ascii="Century" w:hAnsi="Century"/>
          <w:b/>
          <w:sz w:val="24"/>
          <w:szCs w:val="24"/>
        </w:rPr>
        <w:t>на території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44C12">
        <w:rPr>
          <w:rFonts w:ascii="Century" w:hAnsi="Century"/>
          <w:sz w:val="24"/>
          <w:szCs w:val="24"/>
        </w:rPr>
        <w:t>Сохан Лесі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4C1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44C12">
        <w:rPr>
          <w:rFonts w:ascii="Century" w:hAnsi="Century"/>
          <w:sz w:val="24"/>
          <w:szCs w:val="24"/>
        </w:rPr>
        <w:t>на території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44C12">
        <w:rPr>
          <w:rFonts w:ascii="Century" w:hAnsi="Century"/>
          <w:bCs/>
          <w:sz w:val="24"/>
          <w:szCs w:val="24"/>
        </w:rPr>
        <w:t>Сохан Лесі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4C1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44C12">
        <w:rPr>
          <w:rFonts w:ascii="Century" w:hAnsi="Century"/>
          <w:bCs/>
          <w:sz w:val="24"/>
          <w:szCs w:val="24"/>
        </w:rPr>
        <w:t>1,435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44C12">
        <w:rPr>
          <w:rFonts w:ascii="Century" w:hAnsi="Century"/>
          <w:bCs/>
          <w:sz w:val="24"/>
          <w:szCs w:val="24"/>
        </w:rPr>
        <w:t>на території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44C12">
        <w:rPr>
          <w:rFonts w:ascii="Century" w:hAnsi="Century"/>
          <w:bCs/>
          <w:sz w:val="24"/>
          <w:szCs w:val="24"/>
        </w:rPr>
        <w:t>Сохан Лесі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4C1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44C12">
        <w:rPr>
          <w:rFonts w:ascii="Century" w:hAnsi="Century"/>
          <w:bCs/>
          <w:sz w:val="24"/>
          <w:szCs w:val="24"/>
        </w:rPr>
        <w:t>1,435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4C12">
        <w:rPr>
          <w:rFonts w:ascii="Century" w:hAnsi="Century"/>
          <w:bCs/>
          <w:sz w:val="24"/>
          <w:szCs w:val="24"/>
        </w:rPr>
        <w:t>на території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C12" w:rsidRDefault="00C44C12" w:rsidP="00381483">
      <w:pPr>
        <w:spacing w:after="0" w:line="240" w:lineRule="auto"/>
      </w:pPr>
      <w:r>
        <w:separator/>
      </w:r>
    </w:p>
  </w:endnote>
  <w:endnote w:type="continuationSeparator" w:id="0">
    <w:p w:rsidR="00C44C12" w:rsidRDefault="00C44C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C12" w:rsidRDefault="00C44C12" w:rsidP="00381483">
      <w:pPr>
        <w:spacing w:after="0" w:line="240" w:lineRule="auto"/>
      </w:pPr>
      <w:r>
        <w:separator/>
      </w:r>
    </w:p>
  </w:footnote>
  <w:footnote w:type="continuationSeparator" w:id="0">
    <w:p w:rsidR="00C44C12" w:rsidRDefault="00C44C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44C12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